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7E55" w14:textId="37DB0D14" w:rsidR="006B4452" w:rsidRDefault="006B4452" w:rsidP="006B4452">
      <w:pPr>
        <w:pStyle w:val="Title"/>
      </w:pPr>
      <w:r>
        <w:t>Aged Care and Consumer Contributions</w:t>
      </w:r>
    </w:p>
    <w:p w14:paraId="32CA06AE" w14:textId="77777777" w:rsidR="006B4452" w:rsidRPr="006B4452" w:rsidRDefault="006B4452" w:rsidP="006B4452"/>
    <w:p w14:paraId="16762719" w14:textId="071F0391" w:rsidR="005003F5" w:rsidRDefault="005003F5">
      <w:r>
        <w:t>Aged care is comprised of several programs that provide a s</w:t>
      </w:r>
      <w:r w:rsidR="009D1077">
        <w:t>pectrum of care to older people, including</w:t>
      </w:r>
      <w:r>
        <w:t xml:space="preserve"> those who </w:t>
      </w:r>
      <w:r w:rsidR="009D1077">
        <w:t xml:space="preserve">require low level supports in the home to the highest level of support and accommodation in </w:t>
      </w:r>
      <w:r>
        <w:t>residential care. Aged care is available to all older people regardless of their means.</w:t>
      </w:r>
    </w:p>
    <w:p w14:paraId="26766D80" w14:textId="77777777" w:rsidR="00CB39B4" w:rsidRDefault="005003F5">
      <w:r>
        <w:t>The Commonwealth is the major funder of aged care, with participants contributing</w:t>
      </w:r>
      <w:r w:rsidR="00CB39B4">
        <w:t>:</w:t>
      </w:r>
    </w:p>
    <w:p w14:paraId="7AA53672" w14:textId="35691E50" w:rsidR="00CB39B4" w:rsidRDefault="001579EF" w:rsidP="008C6A65">
      <w:pPr>
        <w:pStyle w:val="ListParagraph"/>
        <w:numPr>
          <w:ilvl w:val="0"/>
          <w:numId w:val="10"/>
        </w:numPr>
      </w:pPr>
      <w:r>
        <w:t>4 per cent in the home care programs</w:t>
      </w:r>
      <w:r w:rsidR="00CB39B4">
        <w:t>;</w:t>
      </w:r>
      <w:r>
        <w:t xml:space="preserve"> and </w:t>
      </w:r>
    </w:p>
    <w:p w14:paraId="12F32B11" w14:textId="27FBBB3E" w:rsidR="00CB39B4" w:rsidRDefault="001579EF" w:rsidP="008C6A65">
      <w:pPr>
        <w:pStyle w:val="ListParagraph"/>
        <w:numPr>
          <w:ilvl w:val="0"/>
          <w:numId w:val="10"/>
        </w:numPr>
      </w:pPr>
      <w:r>
        <w:t>25 per cent in residential care programs</w:t>
      </w:r>
      <w:r w:rsidR="008642F5">
        <w:t>,</w:t>
      </w:r>
      <w:r w:rsidR="00CB39B4">
        <w:t xml:space="preserve"> including </w:t>
      </w:r>
      <w:r w:rsidR="00DA40C0">
        <w:t>contributions to accommodation</w:t>
      </w:r>
      <w:r w:rsidR="008C6A65">
        <w:t>,</w:t>
      </w:r>
      <w:r w:rsidR="00DA40C0">
        <w:t xml:space="preserve"> everyday living services</w:t>
      </w:r>
      <w:r w:rsidR="008642F5">
        <w:t xml:space="preserve"> (</w:t>
      </w:r>
      <w:r w:rsidR="008642F5" w:rsidRPr="5A620833">
        <w:rPr>
          <w:rFonts w:eastAsia="Calibri"/>
        </w:rPr>
        <w:t xml:space="preserve">such as meals, </w:t>
      </w:r>
      <w:proofErr w:type="gramStart"/>
      <w:r w:rsidR="008642F5" w:rsidRPr="5A620833">
        <w:rPr>
          <w:rFonts w:eastAsia="Calibri"/>
        </w:rPr>
        <w:t>laundry</w:t>
      </w:r>
      <w:proofErr w:type="gramEnd"/>
      <w:r w:rsidR="008642F5" w:rsidRPr="5A620833">
        <w:rPr>
          <w:rFonts w:eastAsia="Calibri"/>
        </w:rPr>
        <w:t xml:space="preserve"> and heating</w:t>
      </w:r>
      <w:r w:rsidR="00CB39B4">
        <w:t>)</w:t>
      </w:r>
      <w:r w:rsidR="008C6A65">
        <w:t xml:space="preserve"> and care</w:t>
      </w:r>
      <w:r w:rsidR="00DA40C0">
        <w:t xml:space="preserve">. </w:t>
      </w:r>
    </w:p>
    <w:p w14:paraId="054C1B64" w14:textId="77777777" w:rsidR="00CB39B4" w:rsidRDefault="00CB39B4" w:rsidP="008C6A65">
      <w:pPr>
        <w:pStyle w:val="ListParagraph"/>
      </w:pPr>
    </w:p>
    <w:p w14:paraId="73273B78" w14:textId="7FBD0EF1" w:rsidR="005003F5" w:rsidRDefault="002045DE">
      <w:r>
        <w:t>How much an older person contributes to their care depends on which program they are in, their financial position and the provider they choose.</w:t>
      </w:r>
    </w:p>
    <w:p w14:paraId="2021BEEF" w14:textId="1E3C31FE" w:rsidR="00C04614" w:rsidRDefault="00C04614">
      <w:r>
        <w:t xml:space="preserve">This document provides an overview of aged care programs and how they </w:t>
      </w:r>
      <w:r w:rsidR="00F15E98">
        <w:t xml:space="preserve">are </w:t>
      </w:r>
      <w:r>
        <w:t>funded.</w:t>
      </w:r>
    </w:p>
    <w:p w14:paraId="7817C58D" w14:textId="77777777" w:rsidR="006B4452" w:rsidRPr="004560EC" w:rsidRDefault="006B4452" w:rsidP="006B4452">
      <w:pPr>
        <w:pStyle w:val="Heading3"/>
        <w:rPr>
          <w:b/>
        </w:rPr>
      </w:pPr>
      <w:r w:rsidRPr="004560EC">
        <w:rPr>
          <w:b/>
        </w:rPr>
        <w:t>Overview of current arrangements</w:t>
      </w:r>
    </w:p>
    <w:p w14:paraId="3E0C78AF" w14:textId="6DBE299C" w:rsidR="00D15D45" w:rsidRDefault="00D15D45" w:rsidP="00D15D45">
      <w:pPr>
        <w:spacing w:after="60"/>
      </w:pPr>
    </w:p>
    <w:p w14:paraId="7F7EB29A" w14:textId="77777777" w:rsidR="00D15D45" w:rsidRPr="001011CB" w:rsidRDefault="00D15D45" w:rsidP="00D15D45">
      <w:pPr>
        <w:pStyle w:val="Heading3"/>
        <w:rPr>
          <w:b/>
        </w:rPr>
      </w:pPr>
      <w:r w:rsidRPr="001011CB">
        <w:rPr>
          <w:b/>
        </w:rPr>
        <w:t>Home care programs</w:t>
      </w:r>
    </w:p>
    <w:p w14:paraId="6895F867" w14:textId="71BF2048" w:rsidR="00D15D45" w:rsidRDefault="00D15D45" w:rsidP="00D15D45">
      <w:pPr>
        <w:spacing w:after="60"/>
      </w:pPr>
      <w:r>
        <w:t>There are two home care programs:</w:t>
      </w:r>
    </w:p>
    <w:p w14:paraId="533A09FB" w14:textId="41EFD9D3" w:rsidR="002045DE" w:rsidRDefault="009D1077" w:rsidP="00C61995">
      <w:pPr>
        <w:pStyle w:val="ListParagraph"/>
        <w:numPr>
          <w:ilvl w:val="0"/>
          <w:numId w:val="6"/>
        </w:numPr>
        <w:spacing w:after="60"/>
        <w:rPr>
          <w:i/>
        </w:rPr>
      </w:pPr>
      <w:r>
        <w:t xml:space="preserve">The </w:t>
      </w:r>
      <w:r w:rsidR="00D15D45" w:rsidRPr="00C61995">
        <w:t>Commonwealth Home Support Programme (CHSP)</w:t>
      </w:r>
      <w:r>
        <w:rPr>
          <w:i/>
        </w:rPr>
        <w:t xml:space="preserve"> </w:t>
      </w:r>
      <w:r w:rsidRPr="00C61995">
        <w:t xml:space="preserve">which helps older </w:t>
      </w:r>
      <w:r>
        <w:t xml:space="preserve">people </w:t>
      </w:r>
      <w:r w:rsidRPr="00C61995">
        <w:t>access entry-level support services to live independently and safely at home.</w:t>
      </w:r>
      <w:r w:rsidR="007C7CE8">
        <w:t xml:space="preserve"> </w:t>
      </w:r>
      <w:r w:rsidR="007C7CE8" w:rsidRPr="007C7CE8">
        <w:t xml:space="preserve">An aged care assessment </w:t>
      </w:r>
      <w:r w:rsidR="007C7CE8">
        <w:t>d</w:t>
      </w:r>
      <w:r w:rsidR="007C7CE8" w:rsidRPr="007C7CE8">
        <w:t>etermine</w:t>
      </w:r>
      <w:r w:rsidR="00C61995">
        <w:t>s</w:t>
      </w:r>
      <w:r w:rsidR="007C7CE8" w:rsidRPr="007C7CE8">
        <w:t xml:space="preserve"> eligibility for the CHSP, including specific services.</w:t>
      </w:r>
    </w:p>
    <w:p w14:paraId="6E274D3D" w14:textId="21DADBAB" w:rsidR="009D1077" w:rsidRPr="00C61995" w:rsidRDefault="009D1077" w:rsidP="00C61995">
      <w:pPr>
        <w:pStyle w:val="ListParagraph"/>
        <w:numPr>
          <w:ilvl w:val="0"/>
          <w:numId w:val="6"/>
        </w:numPr>
        <w:spacing w:after="60"/>
        <w:rPr>
          <w:i/>
        </w:rPr>
      </w:pPr>
      <w:r>
        <w:t xml:space="preserve">The </w:t>
      </w:r>
      <w:r w:rsidR="00D15D45">
        <w:t>Home Care Packages Program (HCP)</w:t>
      </w:r>
      <w:r w:rsidR="00C61995">
        <w:t xml:space="preserve"> which</w:t>
      </w:r>
      <w:r w:rsidRPr="00C61995">
        <w:rPr>
          <w:rFonts w:eastAsia="Calibri"/>
        </w:rPr>
        <w:t xml:space="preserve"> is a higher level of care</w:t>
      </w:r>
      <w:r w:rsidR="00FD5018">
        <w:rPr>
          <w:rFonts w:eastAsia="Calibri"/>
        </w:rPr>
        <w:t xml:space="preserve"> </w:t>
      </w:r>
      <w:r w:rsidRPr="00C61995">
        <w:rPr>
          <w:rFonts w:eastAsia="Calibri"/>
        </w:rPr>
        <w:t xml:space="preserve">which helps older people with complex care needs to live independently </w:t>
      </w:r>
      <w:r w:rsidR="002045DE" w:rsidRPr="00C61995">
        <w:rPr>
          <w:rFonts w:eastAsia="Calibri"/>
        </w:rPr>
        <w:t xml:space="preserve">and safely </w:t>
      </w:r>
      <w:r w:rsidRPr="00C61995">
        <w:rPr>
          <w:rFonts w:eastAsia="Calibri"/>
        </w:rPr>
        <w:t xml:space="preserve">in their own homes. </w:t>
      </w:r>
      <w:r w:rsidR="00A564AC" w:rsidRPr="00A564AC">
        <w:rPr>
          <w:rFonts w:eastAsia="Calibri"/>
        </w:rPr>
        <w:t xml:space="preserve">Access to </w:t>
      </w:r>
      <w:r w:rsidR="007C7CE8">
        <w:rPr>
          <w:rFonts w:eastAsia="Calibri"/>
        </w:rPr>
        <w:t>HCP</w:t>
      </w:r>
      <w:r w:rsidR="00A564AC" w:rsidRPr="00A564AC">
        <w:rPr>
          <w:rFonts w:eastAsia="Calibri"/>
        </w:rPr>
        <w:t xml:space="preserve"> is determined by an independent assessment by an Aged Care Assessment Team (ACAT). </w:t>
      </w:r>
      <w:r w:rsidR="002045DE" w:rsidRPr="00C61995">
        <w:rPr>
          <w:rFonts w:eastAsia="Calibri"/>
        </w:rPr>
        <w:t xml:space="preserve">There are four levels of HCP </w:t>
      </w:r>
      <w:r w:rsidR="007C7CE8">
        <w:rPr>
          <w:rFonts w:eastAsia="Calibri"/>
        </w:rPr>
        <w:t xml:space="preserve">allocated based on assessed care need </w:t>
      </w:r>
      <w:r w:rsidR="002045DE" w:rsidRPr="00C61995">
        <w:rPr>
          <w:rFonts w:eastAsia="Calibri"/>
        </w:rPr>
        <w:t>– from level 1 for basic care needs to level 4 for high care needs.</w:t>
      </w:r>
      <w:r w:rsidR="002045DE">
        <w:rPr>
          <w:rFonts w:eastAsia="Calibri"/>
        </w:rPr>
        <w:t xml:space="preserve"> </w:t>
      </w:r>
      <w:r w:rsidR="007C7CE8">
        <w:rPr>
          <w:rFonts w:eastAsia="Calibri"/>
        </w:rPr>
        <w:t>A c</w:t>
      </w:r>
      <w:r w:rsidRPr="00C61995">
        <w:rPr>
          <w:rFonts w:eastAsia="Calibri"/>
        </w:rPr>
        <w:t>onsumer-directed care approach make</w:t>
      </w:r>
      <w:r w:rsidR="007C7CE8">
        <w:rPr>
          <w:rFonts w:eastAsia="Calibri"/>
        </w:rPr>
        <w:t>s</w:t>
      </w:r>
      <w:r w:rsidRPr="00C61995">
        <w:rPr>
          <w:rFonts w:eastAsia="Calibri"/>
        </w:rPr>
        <w:t xml:space="preserve"> sure the support suits a person’s needs and goals.</w:t>
      </w:r>
    </w:p>
    <w:p w14:paraId="695A4FB6" w14:textId="2015287F" w:rsidR="00C76145" w:rsidRPr="00C76145" w:rsidRDefault="00C76145" w:rsidP="00C76145">
      <w:pPr>
        <w:spacing w:line="257" w:lineRule="auto"/>
        <w:rPr>
          <w:rFonts w:eastAsia="Calibri"/>
        </w:rPr>
      </w:pPr>
      <w:r>
        <w:t>Home care</w:t>
      </w:r>
      <w:r w:rsidRPr="00C76145">
        <w:rPr>
          <w:rFonts w:eastAsia="Calibri"/>
        </w:rPr>
        <w:t xml:space="preserve"> providers have other obligations towards their </w:t>
      </w:r>
      <w:r w:rsidR="001150D4">
        <w:rPr>
          <w:rFonts w:eastAsia="Calibri"/>
        </w:rPr>
        <w:t>participants</w:t>
      </w:r>
      <w:r w:rsidRPr="00C76145">
        <w:rPr>
          <w:rFonts w:eastAsia="Calibri"/>
        </w:rPr>
        <w:t>, including security of their tenure and ensuring care continuity.</w:t>
      </w:r>
    </w:p>
    <w:p w14:paraId="766B935E" w14:textId="6F8907AB" w:rsidR="006C2516" w:rsidRDefault="006C2516" w:rsidP="00C61995">
      <w:pPr>
        <w:spacing w:after="60"/>
      </w:pPr>
      <w:r w:rsidRPr="00C61995">
        <w:t>Older people in</w:t>
      </w:r>
      <w:r>
        <w:t xml:space="preserve"> home care programs</w:t>
      </w:r>
      <w:r w:rsidRPr="00C61995">
        <w:t xml:space="preserve"> may pay the following:</w:t>
      </w:r>
    </w:p>
    <w:p w14:paraId="00A47D7B" w14:textId="77BF8AAE" w:rsidR="006C2516" w:rsidRPr="00C61995" w:rsidRDefault="006C2516" w:rsidP="006C2516">
      <w:pPr>
        <w:spacing w:after="60"/>
        <w:rPr>
          <w:b/>
        </w:rPr>
      </w:pPr>
      <w:r>
        <w:rPr>
          <w:b/>
        </w:rPr>
        <w:t>CHSP</w:t>
      </w:r>
    </w:p>
    <w:p w14:paraId="1C843109" w14:textId="5811A45B" w:rsidR="006C2516" w:rsidRDefault="006C2516" w:rsidP="00C61995">
      <w:pPr>
        <w:pStyle w:val="ListParagraph"/>
        <w:numPr>
          <w:ilvl w:val="0"/>
          <w:numId w:val="8"/>
        </w:numPr>
        <w:spacing w:after="60"/>
      </w:pPr>
      <w:r w:rsidRPr="00C61995">
        <w:rPr>
          <w:i/>
        </w:rPr>
        <w:t>Consumer contributions</w:t>
      </w:r>
      <w:r>
        <w:rPr>
          <w:i/>
        </w:rPr>
        <w:t xml:space="preserve">: </w:t>
      </w:r>
      <w:r w:rsidRPr="00C61995">
        <w:t>These are</w:t>
      </w:r>
      <w:r>
        <w:t xml:space="preserve"> s</w:t>
      </w:r>
      <w:r w:rsidRPr="000E5993">
        <w:t>et by each provider</w:t>
      </w:r>
      <w:r w:rsidR="003F1157">
        <w:t xml:space="preserve"> and all providers are </w:t>
      </w:r>
      <w:r>
        <w:t xml:space="preserve">required to have a client contribution policy in place. This policy ensures that people who can afford to contribute to the cost of their care do so. It also protects those who are most vulnerable. </w:t>
      </w:r>
      <w:r w:rsidRPr="000E5993">
        <w:t>Providers have discretion as to if</w:t>
      </w:r>
      <w:r w:rsidR="00C61995">
        <w:t>,</w:t>
      </w:r>
      <w:r w:rsidRPr="000E5993">
        <w:t xml:space="preserve"> and how much</w:t>
      </w:r>
      <w:r w:rsidR="00C61995">
        <w:t>,</w:t>
      </w:r>
      <w:r w:rsidRPr="000E5993">
        <w:t xml:space="preserve"> they charge a consumer in line with the CHSP Client Contribution Framework.</w:t>
      </w:r>
      <w:r>
        <w:t xml:space="preserve"> </w:t>
      </w:r>
      <w:r w:rsidRPr="007C7CE8">
        <w:t xml:space="preserve">CHSP </w:t>
      </w:r>
      <w:r>
        <w:t>consumers</w:t>
      </w:r>
      <w:r w:rsidRPr="007C7CE8">
        <w:t xml:space="preserve"> are not means tested</w:t>
      </w:r>
      <w:r>
        <w:t xml:space="preserve"> but pension </w:t>
      </w:r>
      <w:r w:rsidRPr="000E5993">
        <w:t>status</w:t>
      </w:r>
      <w:r>
        <w:t xml:space="preserve"> and</w:t>
      </w:r>
      <w:r w:rsidRPr="000E5993">
        <w:t xml:space="preserve"> current financial circumstances</w:t>
      </w:r>
      <w:r>
        <w:t xml:space="preserve"> can be considered.</w:t>
      </w:r>
    </w:p>
    <w:p w14:paraId="52064A6C" w14:textId="565411A4" w:rsidR="006C2516" w:rsidRPr="00C61995" w:rsidRDefault="006C2516" w:rsidP="00C61995">
      <w:pPr>
        <w:spacing w:after="60"/>
        <w:rPr>
          <w:b/>
        </w:rPr>
      </w:pPr>
      <w:r w:rsidRPr="00C61995">
        <w:rPr>
          <w:b/>
        </w:rPr>
        <w:t>HCP</w:t>
      </w:r>
    </w:p>
    <w:p w14:paraId="27606DD0" w14:textId="56C62D94" w:rsidR="006C2516" w:rsidRPr="00C61995" w:rsidRDefault="006C2516" w:rsidP="0065120C">
      <w:pPr>
        <w:pStyle w:val="ListParagraph"/>
        <w:numPr>
          <w:ilvl w:val="0"/>
          <w:numId w:val="8"/>
        </w:numPr>
        <w:spacing w:after="60"/>
      </w:pPr>
      <w:r w:rsidRPr="00C61995">
        <w:rPr>
          <w:rFonts w:eastAsia="Calibri"/>
          <w:i/>
          <w:iCs/>
        </w:rPr>
        <w:t>Basic daily fee (BDF):</w:t>
      </w:r>
      <w:r w:rsidRPr="00C61995">
        <w:rPr>
          <w:rFonts w:eastAsia="Calibri"/>
        </w:rPr>
        <w:t xml:space="preserve"> </w:t>
      </w:r>
      <w:r>
        <w:t>E</w:t>
      </w:r>
      <w:r w:rsidRPr="00EC06A3">
        <w:t xml:space="preserve">veryone receiving </w:t>
      </w:r>
      <w:proofErr w:type="gramStart"/>
      <w:r w:rsidRPr="00EC06A3">
        <w:t>a</w:t>
      </w:r>
      <w:proofErr w:type="gramEnd"/>
      <w:r w:rsidRPr="00EC06A3">
        <w:t xml:space="preserve"> </w:t>
      </w:r>
      <w:r>
        <w:t>HCP</w:t>
      </w:r>
      <w:r w:rsidRPr="00EC06A3">
        <w:t xml:space="preserve"> can be asked to pay </w:t>
      </w:r>
      <w:r>
        <w:t>this</w:t>
      </w:r>
      <w:r w:rsidRPr="000E5993">
        <w:t xml:space="preserve"> depend</w:t>
      </w:r>
      <w:r>
        <w:t>ent</w:t>
      </w:r>
      <w:r w:rsidRPr="000E5993">
        <w:t xml:space="preserve"> on their package level. </w:t>
      </w:r>
      <w:r>
        <w:t>N</w:t>
      </w:r>
      <w:r w:rsidRPr="004E3572">
        <w:t xml:space="preserve">ot all </w:t>
      </w:r>
      <w:r>
        <w:t xml:space="preserve">providers charge BDF as this is </w:t>
      </w:r>
      <w:r w:rsidRPr="006C2516">
        <w:rPr>
          <w:rFonts w:eastAsia="Calibri"/>
        </w:rPr>
        <w:t>non-mandatory</w:t>
      </w:r>
      <w:r w:rsidRPr="00C61995">
        <w:rPr>
          <w:rFonts w:eastAsia="Calibri"/>
        </w:rPr>
        <w:t>.</w:t>
      </w:r>
      <w:r w:rsidR="0065120C">
        <w:rPr>
          <w:rFonts w:eastAsia="Calibri"/>
        </w:rPr>
        <w:t xml:space="preserve"> </w:t>
      </w:r>
      <w:r w:rsidR="0065120C">
        <w:t xml:space="preserve">Fees are added to </w:t>
      </w:r>
      <w:r w:rsidR="0065120C" w:rsidRPr="004E3572">
        <w:t xml:space="preserve">the government subsidy to increase the funds available to </w:t>
      </w:r>
      <w:r w:rsidR="0065120C">
        <w:t>care recipients in their</w:t>
      </w:r>
      <w:r w:rsidR="0065120C" w:rsidRPr="004E3572">
        <w:t xml:space="preserve"> </w:t>
      </w:r>
      <w:r w:rsidR="0065120C">
        <w:t xml:space="preserve">HCP </w:t>
      </w:r>
      <w:r w:rsidR="0065120C" w:rsidRPr="004E3572">
        <w:t>budget</w:t>
      </w:r>
      <w:r w:rsidR="0065120C">
        <w:t>.</w:t>
      </w:r>
      <w:r w:rsidR="0065120C" w:rsidRPr="0065120C">
        <w:rPr>
          <w:rFonts w:eastAsia="Calibri"/>
        </w:rPr>
        <w:t xml:space="preserve"> </w:t>
      </w:r>
    </w:p>
    <w:p w14:paraId="4345172D" w14:textId="7170D746" w:rsidR="006C2516" w:rsidRDefault="006C2516" w:rsidP="001F6958">
      <w:pPr>
        <w:pStyle w:val="ListParagraph"/>
        <w:numPr>
          <w:ilvl w:val="0"/>
          <w:numId w:val="7"/>
        </w:numPr>
        <w:spacing w:after="60"/>
        <w:ind w:right="-330"/>
      </w:pPr>
      <w:r w:rsidRPr="006C2516">
        <w:rPr>
          <w:rFonts w:eastAsia="Calibri"/>
          <w:i/>
          <w:iCs/>
        </w:rPr>
        <w:lastRenderedPageBreak/>
        <w:t>Income tested c</w:t>
      </w:r>
      <w:r w:rsidRPr="00C61995">
        <w:rPr>
          <w:rFonts w:eastAsia="Calibri"/>
          <w:i/>
          <w:iCs/>
        </w:rPr>
        <w:t xml:space="preserve">are </w:t>
      </w:r>
      <w:r w:rsidRPr="006C2516">
        <w:rPr>
          <w:rFonts w:eastAsia="Calibri"/>
          <w:i/>
          <w:iCs/>
        </w:rPr>
        <w:t>f</w:t>
      </w:r>
      <w:r w:rsidRPr="00C61995">
        <w:rPr>
          <w:rFonts w:eastAsia="Calibri"/>
          <w:i/>
          <w:iCs/>
        </w:rPr>
        <w:t>ee (ITCF)</w:t>
      </w:r>
      <w:r w:rsidRPr="006C2516">
        <w:rPr>
          <w:rFonts w:eastAsia="Calibri"/>
          <w:i/>
          <w:iCs/>
        </w:rPr>
        <w:t xml:space="preserve">: </w:t>
      </w:r>
      <w:r>
        <w:t>A</w:t>
      </w:r>
      <w:r w:rsidRPr="00EC06A3">
        <w:t>n additional amount some people pay based on their income assessment</w:t>
      </w:r>
      <w:r w:rsidRPr="006C2516">
        <w:rPr>
          <w:rFonts w:eastAsia="Calibri"/>
        </w:rPr>
        <w:t>, which reduces the subsidy Government pays</w:t>
      </w:r>
      <w:r>
        <w:t xml:space="preserve">. </w:t>
      </w:r>
      <w:r w:rsidRPr="006C2516">
        <w:rPr>
          <w:rFonts w:eastAsia="Calibri"/>
        </w:rPr>
        <w:t xml:space="preserve">The income assessment includes </w:t>
      </w:r>
      <w:r w:rsidRPr="006C2516">
        <w:rPr>
          <w:rFonts w:eastAsia="Calibri"/>
          <w:lang w:val="en-US"/>
        </w:rPr>
        <w:t xml:space="preserve">income, pension and other Government payments and deemed income. </w:t>
      </w:r>
      <w:r w:rsidR="00E165BB">
        <w:rPr>
          <w:rFonts w:eastAsia="Calibri"/>
          <w:lang w:val="en-US"/>
        </w:rPr>
        <w:t>Daily</w:t>
      </w:r>
      <w:r w:rsidR="00E165BB" w:rsidRPr="000E5993">
        <w:t xml:space="preserve"> </w:t>
      </w:r>
      <w:r w:rsidRPr="000E5993">
        <w:t>and lifetime contribution caps apply to the ITCF.</w:t>
      </w:r>
      <w:r w:rsidR="00A62D5A">
        <w:t xml:space="preserve"> </w:t>
      </w:r>
      <w:r w:rsidR="00A62D5A" w:rsidRPr="00A62D5A">
        <w:t xml:space="preserve">Only </w:t>
      </w:r>
      <w:r w:rsidR="00E165BB">
        <w:t>12</w:t>
      </w:r>
      <w:r w:rsidR="00A07804">
        <w:t xml:space="preserve"> per cent</w:t>
      </w:r>
      <w:r w:rsidR="00A62D5A" w:rsidRPr="00A62D5A">
        <w:t xml:space="preserve"> of care recipients incur an income tested care fee.</w:t>
      </w:r>
    </w:p>
    <w:p w14:paraId="29ECE9AC" w14:textId="467D357B" w:rsidR="0065120C" w:rsidRDefault="006C2516" w:rsidP="001F6958">
      <w:pPr>
        <w:pStyle w:val="ListParagraph"/>
        <w:numPr>
          <w:ilvl w:val="0"/>
          <w:numId w:val="8"/>
        </w:numPr>
        <w:spacing w:after="60"/>
        <w:ind w:right="-188"/>
      </w:pPr>
      <w:r w:rsidRPr="006C2516">
        <w:rPr>
          <w:rFonts w:eastAsia="Calibri"/>
          <w:i/>
          <w:iCs/>
        </w:rPr>
        <w:t>Additional fees:</w:t>
      </w:r>
      <w:r>
        <w:t xml:space="preserve"> </w:t>
      </w:r>
      <w:r w:rsidRPr="000E5993">
        <w:t>A</w:t>
      </w:r>
      <w:r>
        <w:t xml:space="preserve">ny </w:t>
      </w:r>
      <w:r w:rsidRPr="000E5993">
        <w:t xml:space="preserve">other amounts agreed </w:t>
      </w:r>
      <w:r>
        <w:t xml:space="preserve">between a provider and consumer </w:t>
      </w:r>
      <w:r w:rsidRPr="000E5993">
        <w:t xml:space="preserve">to pay for additional </w:t>
      </w:r>
      <w:r>
        <w:t>care and services otherwise not</w:t>
      </w:r>
      <w:r w:rsidRPr="000E5993">
        <w:t xml:space="preserve"> covered by </w:t>
      </w:r>
      <w:r>
        <w:t>the HCP</w:t>
      </w:r>
      <w:r w:rsidRPr="000E5993">
        <w:t xml:space="preserve"> budget.</w:t>
      </w:r>
      <w:r>
        <w:t xml:space="preserve"> </w:t>
      </w:r>
      <w:r w:rsidR="0065120C">
        <w:t xml:space="preserve">Fees are added to </w:t>
      </w:r>
      <w:r w:rsidR="0065120C" w:rsidRPr="004E3572">
        <w:t xml:space="preserve">the government subsidy to increase the funds available to </w:t>
      </w:r>
      <w:r w:rsidR="0065120C">
        <w:t>care recipients in their</w:t>
      </w:r>
      <w:r w:rsidR="0065120C" w:rsidRPr="004E3572">
        <w:t xml:space="preserve"> </w:t>
      </w:r>
      <w:r w:rsidR="0065120C">
        <w:t xml:space="preserve">HCP </w:t>
      </w:r>
      <w:r w:rsidR="0065120C" w:rsidRPr="004E3572">
        <w:t>budget</w:t>
      </w:r>
      <w:r w:rsidR="0065120C">
        <w:t>.</w:t>
      </w:r>
    </w:p>
    <w:p w14:paraId="5930A7D5" w14:textId="77777777" w:rsidR="001011CB" w:rsidRPr="001011CB" w:rsidRDefault="001011CB" w:rsidP="001011CB">
      <w:pPr>
        <w:pStyle w:val="Heading3"/>
        <w:rPr>
          <w:b/>
        </w:rPr>
      </w:pPr>
      <w:r w:rsidRPr="001011CB">
        <w:rPr>
          <w:b/>
        </w:rPr>
        <w:t>Residential Care</w:t>
      </w:r>
    </w:p>
    <w:p w14:paraId="7DA2F634" w14:textId="2CFDEBE2" w:rsidR="00747F18" w:rsidRDefault="00747F18" w:rsidP="006B4452">
      <w:pPr>
        <w:spacing w:line="257" w:lineRule="auto"/>
        <w:rPr>
          <w:rFonts w:ascii="Calibri" w:eastAsia="Calibri" w:hAnsi="Calibri" w:cs="Calibri"/>
        </w:rPr>
      </w:pPr>
      <w:r>
        <w:rPr>
          <w:rFonts w:ascii="Calibri" w:eastAsia="Calibri" w:hAnsi="Calibri" w:cs="Calibri"/>
        </w:rPr>
        <w:t xml:space="preserve">An aged care resident’s care needs are assessed by an independent assessor, and the participant’s provider is funded to deliver these services. Minimum care minute requirements apply to ensure assessed services are delivered. Participants contribute to the cost of their assessed care needs based on their needs (see “Means Tested Care Fees” below). </w:t>
      </w:r>
    </w:p>
    <w:p w14:paraId="297E8039" w14:textId="4733855F" w:rsidR="00747F18" w:rsidRDefault="00747F18" w:rsidP="006B4452">
      <w:pPr>
        <w:spacing w:line="257" w:lineRule="auto"/>
        <w:rPr>
          <w:rFonts w:ascii="Calibri" w:eastAsia="Calibri" w:hAnsi="Calibri" w:cs="Calibri"/>
        </w:rPr>
      </w:pPr>
      <w:r>
        <w:rPr>
          <w:rFonts w:ascii="Calibri" w:eastAsia="Calibri" w:hAnsi="Calibri" w:cs="Calibri"/>
        </w:rPr>
        <w:t>Residential providers have other obligations towards their participants, including security of their tenure and ensuring care continuity.</w:t>
      </w:r>
    </w:p>
    <w:p w14:paraId="3AA36B93" w14:textId="4DDA793B" w:rsidR="006B4452" w:rsidRDefault="006B4452" w:rsidP="006B4452">
      <w:pPr>
        <w:spacing w:line="257" w:lineRule="auto"/>
      </w:pPr>
      <w:r w:rsidRPr="5A620833">
        <w:rPr>
          <w:rFonts w:ascii="Calibri" w:eastAsia="Calibri" w:hAnsi="Calibri" w:cs="Calibri"/>
        </w:rPr>
        <w:t xml:space="preserve">Older </w:t>
      </w:r>
      <w:r w:rsidR="00B5174A">
        <w:rPr>
          <w:rFonts w:ascii="Calibri" w:eastAsia="Calibri" w:hAnsi="Calibri" w:cs="Calibri"/>
        </w:rPr>
        <w:t>people</w:t>
      </w:r>
      <w:r w:rsidR="00B5174A" w:rsidRPr="5A620833">
        <w:rPr>
          <w:rFonts w:ascii="Calibri" w:eastAsia="Calibri" w:hAnsi="Calibri" w:cs="Calibri"/>
        </w:rPr>
        <w:t xml:space="preserve"> </w:t>
      </w:r>
      <w:r w:rsidRPr="5A620833">
        <w:rPr>
          <w:rFonts w:ascii="Calibri" w:eastAsia="Calibri" w:hAnsi="Calibri" w:cs="Calibri"/>
        </w:rPr>
        <w:t>in residential aged care may pay the following:</w:t>
      </w:r>
    </w:p>
    <w:p w14:paraId="2A62AE09" w14:textId="1EFB60DE" w:rsidR="006B4452" w:rsidRDefault="006B4452" w:rsidP="006B4452">
      <w:pPr>
        <w:pStyle w:val="ListParagraph"/>
        <w:numPr>
          <w:ilvl w:val="0"/>
          <w:numId w:val="3"/>
        </w:numPr>
        <w:spacing w:after="60"/>
        <w:rPr>
          <w:rFonts w:eastAsia="Calibri"/>
        </w:rPr>
      </w:pPr>
      <w:r w:rsidRPr="5A620833">
        <w:rPr>
          <w:rFonts w:eastAsia="Calibri"/>
          <w:i/>
          <w:iCs/>
        </w:rPr>
        <w:t>Basic daily fee (BDF):</w:t>
      </w:r>
      <w:r w:rsidRPr="5A620833">
        <w:rPr>
          <w:rFonts w:eastAsia="Calibri"/>
        </w:rPr>
        <w:t xml:space="preserve"> An amount that all residents pay for </w:t>
      </w:r>
      <w:r w:rsidR="001150D4">
        <w:rPr>
          <w:rFonts w:eastAsia="Calibri"/>
        </w:rPr>
        <w:t>everyday living</w:t>
      </w:r>
      <w:r w:rsidRPr="5A620833">
        <w:rPr>
          <w:rFonts w:eastAsia="Calibri"/>
        </w:rPr>
        <w:t xml:space="preserve"> services (such as meals, </w:t>
      </w:r>
      <w:proofErr w:type="gramStart"/>
      <w:r w:rsidRPr="5A620833">
        <w:rPr>
          <w:rFonts w:eastAsia="Calibri"/>
        </w:rPr>
        <w:t>laundry</w:t>
      </w:r>
      <w:proofErr w:type="gramEnd"/>
      <w:r w:rsidRPr="5A620833">
        <w:rPr>
          <w:rFonts w:eastAsia="Calibri"/>
        </w:rPr>
        <w:t xml:space="preserve"> and heating). The B</w:t>
      </w:r>
      <w:r w:rsidR="007D24A6">
        <w:rPr>
          <w:rFonts w:eastAsia="Calibri"/>
        </w:rPr>
        <w:t>asic Daily Fee</w:t>
      </w:r>
      <w:r w:rsidRPr="5A620833">
        <w:rPr>
          <w:rFonts w:eastAsia="Calibri"/>
        </w:rPr>
        <w:t xml:space="preserve"> is</w:t>
      </w:r>
      <w:r>
        <w:rPr>
          <w:rFonts w:eastAsia="Calibri"/>
        </w:rPr>
        <w:t xml:space="preserve"> capped at</w:t>
      </w:r>
      <w:r w:rsidRPr="5A620833">
        <w:rPr>
          <w:rFonts w:eastAsia="Calibri"/>
        </w:rPr>
        <w:t xml:space="preserve"> 85</w:t>
      </w:r>
      <w:r w:rsidR="00A07804">
        <w:rPr>
          <w:rFonts w:eastAsia="Calibri"/>
        </w:rPr>
        <w:t xml:space="preserve"> per cent</w:t>
      </w:r>
      <w:r w:rsidRPr="5A620833">
        <w:rPr>
          <w:rFonts w:eastAsia="Calibri"/>
        </w:rPr>
        <w:t xml:space="preserve"> of the single rate of the basic age pension</w:t>
      </w:r>
      <w:r>
        <w:rPr>
          <w:rFonts w:eastAsia="Calibri"/>
        </w:rPr>
        <w:t xml:space="preserve"> for all </w:t>
      </w:r>
      <w:r w:rsidR="00AC7DCB">
        <w:rPr>
          <w:rFonts w:eastAsia="Calibri"/>
        </w:rPr>
        <w:t>participants</w:t>
      </w:r>
      <w:r w:rsidRPr="5A620833">
        <w:rPr>
          <w:rFonts w:eastAsia="Calibri"/>
        </w:rPr>
        <w:t>.</w:t>
      </w:r>
    </w:p>
    <w:p w14:paraId="26BB5BA0" w14:textId="68941663" w:rsidR="006B4452" w:rsidRPr="001F6958" w:rsidRDefault="006B4452" w:rsidP="00A05CB4">
      <w:pPr>
        <w:pStyle w:val="ListParagraph"/>
        <w:numPr>
          <w:ilvl w:val="0"/>
          <w:numId w:val="3"/>
        </w:numPr>
        <w:spacing w:after="60"/>
        <w:rPr>
          <w:rFonts w:eastAsia="Calibri"/>
        </w:rPr>
      </w:pPr>
      <w:r w:rsidRPr="001F6958">
        <w:rPr>
          <w:rFonts w:eastAsia="Calibri"/>
          <w:i/>
          <w:iCs/>
        </w:rPr>
        <w:t>Accommodation costs:</w:t>
      </w:r>
      <w:r w:rsidRPr="001F6958">
        <w:rPr>
          <w:rFonts w:eastAsia="Calibri"/>
        </w:rPr>
        <w:t xml:space="preserve"> This is a means tested </w:t>
      </w:r>
      <w:r w:rsidR="00C272FF" w:rsidRPr="001F6958">
        <w:rPr>
          <w:rFonts w:eastAsia="Calibri"/>
        </w:rPr>
        <w:t>payment</w:t>
      </w:r>
      <w:r w:rsidRPr="001F6958">
        <w:rPr>
          <w:rFonts w:eastAsia="Calibri"/>
        </w:rPr>
        <w:t xml:space="preserve"> </w:t>
      </w:r>
      <w:r w:rsidR="00C272FF" w:rsidRPr="001F6958">
        <w:rPr>
          <w:rFonts w:eastAsia="Calibri"/>
        </w:rPr>
        <w:t xml:space="preserve">in which supported residents contribute </w:t>
      </w:r>
      <w:r w:rsidR="001F6958" w:rsidRPr="001F6958">
        <w:rPr>
          <w:rFonts w:eastAsia="Calibri"/>
        </w:rPr>
        <w:t xml:space="preserve">up to </w:t>
      </w:r>
      <w:r w:rsidR="001F6958">
        <w:rPr>
          <w:rFonts w:eastAsia="Calibri"/>
        </w:rPr>
        <w:t>the amount of the accommodation supplement</w:t>
      </w:r>
      <w:r w:rsidR="001F6958" w:rsidRPr="001F6958">
        <w:rPr>
          <w:rFonts w:eastAsia="Calibri"/>
        </w:rPr>
        <w:t xml:space="preserve"> in accordance with their means and</w:t>
      </w:r>
      <w:r w:rsidR="00C272FF" w:rsidRPr="001F6958">
        <w:rPr>
          <w:rFonts w:eastAsia="Calibri"/>
        </w:rPr>
        <w:t xml:space="preserve"> non-supported residents pay a price agreed with the provider</w:t>
      </w:r>
      <w:r w:rsidR="001F6958" w:rsidRPr="001F6958">
        <w:rPr>
          <w:rFonts w:eastAsia="Calibri"/>
        </w:rPr>
        <w:t>. The Government pays an accommodation supplement for fully</w:t>
      </w:r>
      <w:r w:rsidR="001F6958">
        <w:rPr>
          <w:rFonts w:eastAsia="Calibri"/>
        </w:rPr>
        <w:noBreakHyphen/>
      </w:r>
      <w:r w:rsidR="001F6958" w:rsidRPr="001F6958">
        <w:rPr>
          <w:rFonts w:eastAsia="Calibri"/>
        </w:rPr>
        <w:t>supported residents and pays part of the accommodation supplement for partially</w:t>
      </w:r>
      <w:r w:rsidR="001F6958">
        <w:rPr>
          <w:rFonts w:eastAsia="Calibri"/>
        </w:rPr>
        <w:noBreakHyphen/>
      </w:r>
      <w:r w:rsidR="001F6958" w:rsidRPr="001F6958">
        <w:rPr>
          <w:rFonts w:eastAsia="Calibri"/>
        </w:rPr>
        <w:t xml:space="preserve">supported residents (accommodation costs paid by </w:t>
      </w:r>
      <w:proofErr w:type="gramStart"/>
      <w:r w:rsidR="001F6958" w:rsidRPr="001F6958">
        <w:rPr>
          <w:rFonts w:eastAsia="Calibri"/>
        </w:rPr>
        <w:t>partially-supported</w:t>
      </w:r>
      <w:proofErr w:type="gramEnd"/>
      <w:r w:rsidR="001F6958" w:rsidRPr="001F6958">
        <w:rPr>
          <w:rFonts w:eastAsia="Calibri"/>
        </w:rPr>
        <w:t xml:space="preserve"> residents reduce the Government supplement paid). </w:t>
      </w:r>
      <w:r w:rsidRPr="001F6958">
        <w:rPr>
          <w:rFonts w:eastAsia="Calibri"/>
        </w:rPr>
        <w:t xml:space="preserve">Non-supported residents pay for their accommodation costs via a </w:t>
      </w:r>
      <w:r w:rsidR="003277A2" w:rsidRPr="001F6958">
        <w:rPr>
          <w:rFonts w:eastAsia="Calibri"/>
        </w:rPr>
        <w:t>fully</w:t>
      </w:r>
      <w:r w:rsidR="003277A2" w:rsidRPr="001F6958">
        <w:rPr>
          <w:rFonts w:eastAsia="Calibri"/>
        </w:rPr>
        <w:noBreakHyphen/>
        <w:t>refundable</w:t>
      </w:r>
      <w:r w:rsidRPr="001F6958">
        <w:rPr>
          <w:rFonts w:eastAsia="Calibri"/>
        </w:rPr>
        <w:t xml:space="preserve"> lump-sum accommodation deposit or rental style daily accommodati</w:t>
      </w:r>
      <w:r w:rsidR="007D24A6" w:rsidRPr="001F6958">
        <w:rPr>
          <w:rFonts w:eastAsia="Calibri"/>
        </w:rPr>
        <w:t>on payment</w:t>
      </w:r>
      <w:r w:rsidR="002D7717" w:rsidRPr="001F6958">
        <w:rPr>
          <w:rFonts w:eastAsia="Calibri"/>
        </w:rPr>
        <w:t xml:space="preserve"> </w:t>
      </w:r>
      <w:r w:rsidR="00F77AF0" w:rsidRPr="001F6958">
        <w:rPr>
          <w:rFonts w:eastAsia="Calibri"/>
        </w:rPr>
        <w:t>calculated</w:t>
      </w:r>
      <w:r w:rsidR="002D7717" w:rsidRPr="001F6958">
        <w:rPr>
          <w:rFonts w:eastAsia="Calibri"/>
        </w:rPr>
        <w:t xml:space="preserve"> from </w:t>
      </w:r>
      <w:r w:rsidRPr="001F6958">
        <w:rPr>
          <w:rFonts w:eastAsia="Calibri"/>
        </w:rPr>
        <w:t xml:space="preserve">the </w:t>
      </w:r>
      <w:r w:rsidR="002D7717" w:rsidRPr="001F6958">
        <w:rPr>
          <w:rFonts w:eastAsia="Calibri"/>
        </w:rPr>
        <w:t>lump sum price</w:t>
      </w:r>
      <w:r w:rsidRPr="001F6958">
        <w:rPr>
          <w:rFonts w:eastAsia="Calibri"/>
        </w:rPr>
        <w:t xml:space="preserve">, or a combination of the two. </w:t>
      </w:r>
    </w:p>
    <w:p w14:paraId="7CB6C01E" w14:textId="3C85CB66" w:rsidR="006B4452" w:rsidRDefault="006B4452" w:rsidP="006B4452">
      <w:pPr>
        <w:pStyle w:val="ListParagraph"/>
        <w:numPr>
          <w:ilvl w:val="0"/>
          <w:numId w:val="3"/>
        </w:numPr>
        <w:spacing w:after="60"/>
        <w:rPr>
          <w:rFonts w:eastAsia="Calibri"/>
        </w:rPr>
      </w:pPr>
      <w:r w:rsidRPr="5A620833">
        <w:rPr>
          <w:rFonts w:eastAsia="Calibri"/>
          <w:i/>
          <w:iCs/>
        </w:rPr>
        <w:t>Means tested care fee:</w:t>
      </w:r>
      <w:r w:rsidRPr="5A620833">
        <w:rPr>
          <w:rFonts w:eastAsia="Calibri"/>
        </w:rPr>
        <w:t xml:space="preserve"> This is a means tested fee which reduces the amount of Government subsidy paid to a provider for the cost of an individual’s care. Annual and lifetime caps apply.</w:t>
      </w:r>
      <w:r w:rsidR="003D11F0">
        <w:rPr>
          <w:rFonts w:eastAsia="Calibri"/>
        </w:rPr>
        <w:t xml:space="preserve"> Participants currently only contribute 4 per cent of all costs for assessed care needs of participants, with the Commonwealth contributing the remaining 96 per cent.</w:t>
      </w:r>
    </w:p>
    <w:p w14:paraId="09F54B8B" w14:textId="77777777" w:rsidR="006B4452" w:rsidRDefault="006B4452" w:rsidP="006B4452">
      <w:pPr>
        <w:pStyle w:val="ListParagraph"/>
        <w:numPr>
          <w:ilvl w:val="0"/>
          <w:numId w:val="3"/>
        </w:numPr>
        <w:spacing w:after="120"/>
        <w:rPr>
          <w:rFonts w:eastAsia="Calibri"/>
        </w:rPr>
      </w:pPr>
      <w:r w:rsidRPr="78F927A4">
        <w:rPr>
          <w:rFonts w:eastAsia="Calibri"/>
          <w:i/>
          <w:iCs/>
        </w:rPr>
        <w:t>Additional service fees:</w:t>
      </w:r>
      <w:r w:rsidRPr="78F927A4">
        <w:rPr>
          <w:rFonts w:eastAsia="Calibri"/>
        </w:rPr>
        <w:t xml:space="preserve"> Residents can enter into an agreement to pay for services that go beyond the minimum care and service requirements. The scope of these is set and agreed between the resident and provider. </w:t>
      </w:r>
    </w:p>
    <w:p w14:paraId="5AE76D94" w14:textId="7ADC1BC0" w:rsidR="008642F5" w:rsidRDefault="006B4452" w:rsidP="006B4452">
      <w:pPr>
        <w:spacing w:after="60"/>
      </w:pPr>
      <w:r>
        <w:t>In combination, this means</w:t>
      </w:r>
      <w:r w:rsidRPr="001829C7">
        <w:t xml:space="preserve"> that</w:t>
      </w:r>
      <w:r w:rsidR="008642F5">
        <w:t>:</w:t>
      </w:r>
    </w:p>
    <w:p w14:paraId="38B9590C" w14:textId="45ABF690" w:rsidR="008642F5" w:rsidRDefault="008642F5" w:rsidP="008C6A65">
      <w:pPr>
        <w:pStyle w:val="ListParagraph"/>
        <w:numPr>
          <w:ilvl w:val="0"/>
          <w:numId w:val="6"/>
        </w:numPr>
        <w:spacing w:after="60"/>
      </w:pPr>
      <w:r>
        <w:t xml:space="preserve">All </w:t>
      </w:r>
      <w:r w:rsidR="00460417">
        <w:t>residents</w:t>
      </w:r>
      <w:r w:rsidRPr="001829C7">
        <w:t xml:space="preserve"> </w:t>
      </w:r>
      <w:r w:rsidR="006B4452" w:rsidRPr="001829C7">
        <w:t>pay the BDF</w:t>
      </w:r>
      <w:r w:rsidR="009D7964">
        <w:t xml:space="preserve"> </w:t>
      </w:r>
      <w:r w:rsidR="004555CF">
        <w:t xml:space="preserve">- </w:t>
      </w:r>
      <w:r w:rsidR="009D7964">
        <w:t>with 19</w:t>
      </w:r>
      <w:r>
        <w:t xml:space="preserve"> per cent</w:t>
      </w:r>
      <w:r w:rsidR="009D7964">
        <w:t xml:space="preserve"> paying no other fees</w:t>
      </w:r>
      <w:r>
        <w:t>.</w:t>
      </w:r>
    </w:p>
    <w:p w14:paraId="36F2DF20" w14:textId="40540609" w:rsidR="008642F5" w:rsidRDefault="004555CF" w:rsidP="008C6A65">
      <w:pPr>
        <w:pStyle w:val="ListParagraph"/>
        <w:numPr>
          <w:ilvl w:val="0"/>
          <w:numId w:val="6"/>
        </w:numPr>
        <w:spacing w:after="60"/>
      </w:pPr>
      <w:r>
        <w:t xml:space="preserve">81 </w:t>
      </w:r>
      <w:r w:rsidR="008642F5">
        <w:t>per cent</w:t>
      </w:r>
      <w:r w:rsidR="006B4452" w:rsidRPr="001829C7">
        <w:t xml:space="preserve"> of </w:t>
      </w:r>
      <w:r w:rsidR="008642F5">
        <w:t>residen</w:t>
      </w:r>
      <w:r w:rsidR="00460417">
        <w:t>ts</w:t>
      </w:r>
      <w:r w:rsidR="008642F5">
        <w:t xml:space="preserve"> </w:t>
      </w:r>
      <w:r w:rsidR="006B4452" w:rsidRPr="001829C7">
        <w:t>make</w:t>
      </w:r>
      <w:r w:rsidR="008642F5">
        <w:t xml:space="preserve"> </w:t>
      </w:r>
      <w:r w:rsidR="006B4452" w:rsidRPr="001829C7">
        <w:t>some contribution towards their accommodation</w:t>
      </w:r>
      <w:r w:rsidR="009D7964">
        <w:t xml:space="preserve"> </w:t>
      </w:r>
      <w:r>
        <w:t xml:space="preserve">- with </w:t>
      </w:r>
      <w:r w:rsidR="008642F5">
        <w:t>21</w:t>
      </w:r>
      <w:r>
        <w:t> </w:t>
      </w:r>
      <w:r w:rsidR="008642F5">
        <w:t>per</w:t>
      </w:r>
      <w:r>
        <w:t> </w:t>
      </w:r>
      <w:r w:rsidR="008642F5">
        <w:t xml:space="preserve">cent </w:t>
      </w:r>
      <w:proofErr w:type="gramStart"/>
      <w:r w:rsidR="008642F5">
        <w:t>making a contribution</w:t>
      </w:r>
      <w:proofErr w:type="gramEnd"/>
      <w:r>
        <w:t xml:space="preserve"> and 60 per cent paying the full cost</w:t>
      </w:r>
      <w:r w:rsidR="008642F5">
        <w:t>.</w:t>
      </w:r>
    </w:p>
    <w:p w14:paraId="225FC4BA" w14:textId="044A1577" w:rsidR="006B4452" w:rsidRDefault="004555CF" w:rsidP="008C6A65">
      <w:pPr>
        <w:pStyle w:val="ListParagraph"/>
        <w:numPr>
          <w:ilvl w:val="0"/>
          <w:numId w:val="6"/>
        </w:numPr>
        <w:spacing w:after="60"/>
      </w:pPr>
      <w:r>
        <w:t xml:space="preserve">Half of the 60 per cent of residents that pay the full cost also </w:t>
      </w:r>
      <w:r w:rsidR="00460417">
        <w:t xml:space="preserve">contribute </w:t>
      </w:r>
      <w:r w:rsidR="006B4452" w:rsidRPr="001829C7">
        <w:t>to their care</w:t>
      </w:r>
      <w:r w:rsidR="008642F5">
        <w:t xml:space="preserve"> costs</w:t>
      </w:r>
      <w:r w:rsidR="006B4452">
        <w:t>.</w:t>
      </w:r>
    </w:p>
    <w:p w14:paraId="2B23177C" w14:textId="5D988335" w:rsidR="00EC06A3" w:rsidRDefault="00EC06A3" w:rsidP="006B4452">
      <w:pPr>
        <w:spacing w:after="60"/>
      </w:pPr>
    </w:p>
    <w:p w14:paraId="3EEE7F8A" w14:textId="6ABD32DC" w:rsidR="00EC06A3" w:rsidRDefault="00EC06A3" w:rsidP="006B4452">
      <w:pPr>
        <w:spacing w:after="60"/>
      </w:pPr>
      <w:r>
        <w:t>More information</w:t>
      </w:r>
    </w:p>
    <w:p w14:paraId="52A24FE4" w14:textId="3A333DF3" w:rsidR="00EC06A3" w:rsidRDefault="0024297B" w:rsidP="006B4452">
      <w:pPr>
        <w:spacing w:after="60"/>
      </w:pPr>
      <w:hyperlink r:id="rId9" w:history="1">
        <w:r w:rsidR="00EC06A3">
          <w:rPr>
            <w:rStyle w:val="Hyperlink"/>
          </w:rPr>
          <w:t>Understanding aged care costs | My Aged Care</w:t>
        </w:r>
      </w:hyperlink>
    </w:p>
    <w:p w14:paraId="3EB382C4" w14:textId="771BF36B" w:rsidR="002A45E9" w:rsidRDefault="0024297B" w:rsidP="0024297B">
      <w:pPr>
        <w:spacing w:after="60"/>
      </w:pPr>
      <w:hyperlink r:id="rId10" w:history="1">
        <w:r w:rsidR="00AC20B4">
          <w:rPr>
            <w:rStyle w:val="Hyperlink"/>
          </w:rPr>
          <w:t>Schedule of Fees and Charges for Residential and Home Care | Australian Government Department of Health and Aged Care</w:t>
        </w:r>
      </w:hyperlink>
      <w:r w:rsidR="006B4452">
        <w:t xml:space="preserve"> </w:t>
      </w:r>
    </w:p>
    <w:sectPr w:rsidR="002A4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222"/>
    <w:multiLevelType w:val="hybridMultilevel"/>
    <w:tmpl w:val="45067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C72E17"/>
    <w:multiLevelType w:val="hybridMultilevel"/>
    <w:tmpl w:val="B240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924CD6"/>
    <w:multiLevelType w:val="hybridMultilevel"/>
    <w:tmpl w:val="0A2A51F8"/>
    <w:lvl w:ilvl="0" w:tplc="2788127E">
      <w:start w:val="1"/>
      <w:numFmt w:val="bullet"/>
      <w:lvlText w:val="•"/>
      <w:lvlJc w:val="left"/>
      <w:pPr>
        <w:tabs>
          <w:tab w:val="num" w:pos="720"/>
        </w:tabs>
        <w:ind w:left="720" w:hanging="360"/>
      </w:pPr>
      <w:rPr>
        <w:rFonts w:ascii="Arial" w:hAnsi="Arial" w:hint="default"/>
      </w:rPr>
    </w:lvl>
    <w:lvl w:ilvl="1" w:tplc="C896CBD0" w:tentative="1">
      <w:start w:val="1"/>
      <w:numFmt w:val="bullet"/>
      <w:lvlText w:val="•"/>
      <w:lvlJc w:val="left"/>
      <w:pPr>
        <w:tabs>
          <w:tab w:val="num" w:pos="1440"/>
        </w:tabs>
        <w:ind w:left="1440" w:hanging="360"/>
      </w:pPr>
      <w:rPr>
        <w:rFonts w:ascii="Arial" w:hAnsi="Arial" w:hint="default"/>
      </w:rPr>
    </w:lvl>
    <w:lvl w:ilvl="2" w:tplc="610A142A" w:tentative="1">
      <w:start w:val="1"/>
      <w:numFmt w:val="bullet"/>
      <w:lvlText w:val="•"/>
      <w:lvlJc w:val="left"/>
      <w:pPr>
        <w:tabs>
          <w:tab w:val="num" w:pos="2160"/>
        </w:tabs>
        <w:ind w:left="2160" w:hanging="360"/>
      </w:pPr>
      <w:rPr>
        <w:rFonts w:ascii="Arial" w:hAnsi="Arial" w:hint="default"/>
      </w:rPr>
    </w:lvl>
    <w:lvl w:ilvl="3" w:tplc="EE5A8188" w:tentative="1">
      <w:start w:val="1"/>
      <w:numFmt w:val="bullet"/>
      <w:lvlText w:val="•"/>
      <w:lvlJc w:val="left"/>
      <w:pPr>
        <w:tabs>
          <w:tab w:val="num" w:pos="2880"/>
        </w:tabs>
        <w:ind w:left="2880" w:hanging="360"/>
      </w:pPr>
      <w:rPr>
        <w:rFonts w:ascii="Arial" w:hAnsi="Arial" w:hint="default"/>
      </w:rPr>
    </w:lvl>
    <w:lvl w:ilvl="4" w:tplc="BCF2096E" w:tentative="1">
      <w:start w:val="1"/>
      <w:numFmt w:val="bullet"/>
      <w:lvlText w:val="•"/>
      <w:lvlJc w:val="left"/>
      <w:pPr>
        <w:tabs>
          <w:tab w:val="num" w:pos="3600"/>
        </w:tabs>
        <w:ind w:left="3600" w:hanging="360"/>
      </w:pPr>
      <w:rPr>
        <w:rFonts w:ascii="Arial" w:hAnsi="Arial" w:hint="default"/>
      </w:rPr>
    </w:lvl>
    <w:lvl w:ilvl="5" w:tplc="3D7870FA" w:tentative="1">
      <w:start w:val="1"/>
      <w:numFmt w:val="bullet"/>
      <w:lvlText w:val="•"/>
      <w:lvlJc w:val="left"/>
      <w:pPr>
        <w:tabs>
          <w:tab w:val="num" w:pos="4320"/>
        </w:tabs>
        <w:ind w:left="4320" w:hanging="360"/>
      </w:pPr>
      <w:rPr>
        <w:rFonts w:ascii="Arial" w:hAnsi="Arial" w:hint="default"/>
      </w:rPr>
    </w:lvl>
    <w:lvl w:ilvl="6" w:tplc="7ED06F86" w:tentative="1">
      <w:start w:val="1"/>
      <w:numFmt w:val="bullet"/>
      <w:lvlText w:val="•"/>
      <w:lvlJc w:val="left"/>
      <w:pPr>
        <w:tabs>
          <w:tab w:val="num" w:pos="5040"/>
        </w:tabs>
        <w:ind w:left="5040" w:hanging="360"/>
      </w:pPr>
      <w:rPr>
        <w:rFonts w:ascii="Arial" w:hAnsi="Arial" w:hint="default"/>
      </w:rPr>
    </w:lvl>
    <w:lvl w:ilvl="7" w:tplc="078AB492" w:tentative="1">
      <w:start w:val="1"/>
      <w:numFmt w:val="bullet"/>
      <w:lvlText w:val="•"/>
      <w:lvlJc w:val="left"/>
      <w:pPr>
        <w:tabs>
          <w:tab w:val="num" w:pos="5760"/>
        </w:tabs>
        <w:ind w:left="5760" w:hanging="360"/>
      </w:pPr>
      <w:rPr>
        <w:rFonts w:ascii="Arial" w:hAnsi="Arial" w:hint="default"/>
      </w:rPr>
    </w:lvl>
    <w:lvl w:ilvl="8" w:tplc="B504EE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FC0475"/>
    <w:multiLevelType w:val="hybridMultilevel"/>
    <w:tmpl w:val="79007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FD7E43"/>
    <w:multiLevelType w:val="hybridMultilevel"/>
    <w:tmpl w:val="590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B419E"/>
    <w:multiLevelType w:val="hybridMultilevel"/>
    <w:tmpl w:val="B428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37D504"/>
    <w:multiLevelType w:val="hybridMultilevel"/>
    <w:tmpl w:val="C04807BC"/>
    <w:lvl w:ilvl="0" w:tplc="1666CE6C">
      <w:start w:val="1"/>
      <w:numFmt w:val="bullet"/>
      <w:lvlText w:val=""/>
      <w:lvlJc w:val="left"/>
      <w:pPr>
        <w:ind w:left="720" w:hanging="360"/>
      </w:pPr>
      <w:rPr>
        <w:rFonts w:ascii="Symbol" w:hAnsi="Symbol" w:hint="default"/>
      </w:rPr>
    </w:lvl>
    <w:lvl w:ilvl="1" w:tplc="7F541848">
      <w:start w:val="1"/>
      <w:numFmt w:val="bullet"/>
      <w:lvlText w:val=""/>
      <w:lvlJc w:val="left"/>
      <w:pPr>
        <w:ind w:left="1440" w:hanging="360"/>
      </w:pPr>
      <w:rPr>
        <w:rFonts w:ascii="Symbol" w:hAnsi="Symbol" w:hint="default"/>
      </w:rPr>
    </w:lvl>
    <w:lvl w:ilvl="2" w:tplc="CA58337E">
      <w:start w:val="1"/>
      <w:numFmt w:val="bullet"/>
      <w:lvlText w:val=""/>
      <w:lvlJc w:val="left"/>
      <w:pPr>
        <w:ind w:left="2160" w:hanging="360"/>
      </w:pPr>
      <w:rPr>
        <w:rFonts w:ascii="Wingdings" w:hAnsi="Wingdings" w:hint="default"/>
      </w:rPr>
    </w:lvl>
    <w:lvl w:ilvl="3" w:tplc="F67CBF3A">
      <w:start w:val="1"/>
      <w:numFmt w:val="bullet"/>
      <w:lvlText w:val=""/>
      <w:lvlJc w:val="left"/>
      <w:pPr>
        <w:ind w:left="2880" w:hanging="360"/>
      </w:pPr>
      <w:rPr>
        <w:rFonts w:ascii="Symbol" w:hAnsi="Symbol" w:hint="default"/>
      </w:rPr>
    </w:lvl>
    <w:lvl w:ilvl="4" w:tplc="ADEA9320">
      <w:start w:val="1"/>
      <w:numFmt w:val="bullet"/>
      <w:lvlText w:val="o"/>
      <w:lvlJc w:val="left"/>
      <w:pPr>
        <w:ind w:left="3600" w:hanging="360"/>
      </w:pPr>
      <w:rPr>
        <w:rFonts w:ascii="Courier New" w:hAnsi="Courier New" w:hint="default"/>
      </w:rPr>
    </w:lvl>
    <w:lvl w:ilvl="5" w:tplc="C81A0F70">
      <w:start w:val="1"/>
      <w:numFmt w:val="bullet"/>
      <w:lvlText w:val=""/>
      <w:lvlJc w:val="left"/>
      <w:pPr>
        <w:ind w:left="4320" w:hanging="360"/>
      </w:pPr>
      <w:rPr>
        <w:rFonts w:ascii="Wingdings" w:hAnsi="Wingdings" w:hint="default"/>
      </w:rPr>
    </w:lvl>
    <w:lvl w:ilvl="6" w:tplc="A7DAFBC4">
      <w:start w:val="1"/>
      <w:numFmt w:val="bullet"/>
      <w:lvlText w:val=""/>
      <w:lvlJc w:val="left"/>
      <w:pPr>
        <w:ind w:left="5040" w:hanging="360"/>
      </w:pPr>
      <w:rPr>
        <w:rFonts w:ascii="Symbol" w:hAnsi="Symbol" w:hint="default"/>
      </w:rPr>
    </w:lvl>
    <w:lvl w:ilvl="7" w:tplc="48127242">
      <w:start w:val="1"/>
      <w:numFmt w:val="bullet"/>
      <w:lvlText w:val="o"/>
      <w:lvlJc w:val="left"/>
      <w:pPr>
        <w:ind w:left="5760" w:hanging="360"/>
      </w:pPr>
      <w:rPr>
        <w:rFonts w:ascii="Courier New" w:hAnsi="Courier New" w:hint="default"/>
      </w:rPr>
    </w:lvl>
    <w:lvl w:ilvl="8" w:tplc="D31A2442">
      <w:start w:val="1"/>
      <w:numFmt w:val="bullet"/>
      <w:lvlText w:val=""/>
      <w:lvlJc w:val="left"/>
      <w:pPr>
        <w:ind w:left="6480" w:hanging="360"/>
      </w:pPr>
      <w:rPr>
        <w:rFonts w:ascii="Wingdings" w:hAnsi="Wingdings" w:hint="default"/>
      </w:rPr>
    </w:lvl>
  </w:abstractNum>
  <w:abstractNum w:abstractNumId="7" w15:restartNumberingAfterBreak="0">
    <w:nsid w:val="4C50747F"/>
    <w:multiLevelType w:val="hybridMultilevel"/>
    <w:tmpl w:val="47760DDA"/>
    <w:lvl w:ilvl="0" w:tplc="CDF828F4">
      <w:start w:val="1"/>
      <w:numFmt w:val="bullet"/>
      <w:lvlText w:val="·"/>
      <w:lvlJc w:val="left"/>
      <w:pPr>
        <w:ind w:left="720" w:hanging="360"/>
      </w:pPr>
      <w:rPr>
        <w:rFonts w:ascii="Symbol" w:hAnsi="Symbol" w:hint="default"/>
      </w:rPr>
    </w:lvl>
    <w:lvl w:ilvl="1" w:tplc="A2062A4E">
      <w:start w:val="1"/>
      <w:numFmt w:val="bullet"/>
      <w:lvlText w:val="o"/>
      <w:lvlJc w:val="left"/>
      <w:pPr>
        <w:ind w:left="1440" w:hanging="360"/>
      </w:pPr>
      <w:rPr>
        <w:rFonts w:ascii="Courier New" w:hAnsi="Courier New" w:hint="default"/>
      </w:rPr>
    </w:lvl>
    <w:lvl w:ilvl="2" w:tplc="7B7A646C">
      <w:start w:val="1"/>
      <w:numFmt w:val="bullet"/>
      <w:lvlText w:val=""/>
      <w:lvlJc w:val="left"/>
      <w:pPr>
        <w:ind w:left="2160" w:hanging="360"/>
      </w:pPr>
      <w:rPr>
        <w:rFonts w:ascii="Wingdings" w:hAnsi="Wingdings" w:hint="default"/>
      </w:rPr>
    </w:lvl>
    <w:lvl w:ilvl="3" w:tplc="1ADE15EE">
      <w:start w:val="1"/>
      <w:numFmt w:val="bullet"/>
      <w:lvlText w:val=""/>
      <w:lvlJc w:val="left"/>
      <w:pPr>
        <w:ind w:left="2880" w:hanging="360"/>
      </w:pPr>
      <w:rPr>
        <w:rFonts w:ascii="Symbol" w:hAnsi="Symbol" w:hint="default"/>
      </w:rPr>
    </w:lvl>
    <w:lvl w:ilvl="4" w:tplc="B06ED8B2">
      <w:start w:val="1"/>
      <w:numFmt w:val="bullet"/>
      <w:lvlText w:val="o"/>
      <w:lvlJc w:val="left"/>
      <w:pPr>
        <w:ind w:left="3600" w:hanging="360"/>
      </w:pPr>
      <w:rPr>
        <w:rFonts w:ascii="Courier New" w:hAnsi="Courier New" w:hint="default"/>
      </w:rPr>
    </w:lvl>
    <w:lvl w:ilvl="5" w:tplc="B20E63BE">
      <w:start w:val="1"/>
      <w:numFmt w:val="bullet"/>
      <w:lvlText w:val=""/>
      <w:lvlJc w:val="left"/>
      <w:pPr>
        <w:ind w:left="4320" w:hanging="360"/>
      </w:pPr>
      <w:rPr>
        <w:rFonts w:ascii="Wingdings" w:hAnsi="Wingdings" w:hint="default"/>
      </w:rPr>
    </w:lvl>
    <w:lvl w:ilvl="6" w:tplc="C660E9B8">
      <w:start w:val="1"/>
      <w:numFmt w:val="bullet"/>
      <w:lvlText w:val=""/>
      <w:lvlJc w:val="left"/>
      <w:pPr>
        <w:ind w:left="5040" w:hanging="360"/>
      </w:pPr>
      <w:rPr>
        <w:rFonts w:ascii="Symbol" w:hAnsi="Symbol" w:hint="default"/>
      </w:rPr>
    </w:lvl>
    <w:lvl w:ilvl="7" w:tplc="D61C92CE">
      <w:start w:val="1"/>
      <w:numFmt w:val="bullet"/>
      <w:lvlText w:val="o"/>
      <w:lvlJc w:val="left"/>
      <w:pPr>
        <w:ind w:left="5760" w:hanging="360"/>
      </w:pPr>
      <w:rPr>
        <w:rFonts w:ascii="Courier New" w:hAnsi="Courier New" w:hint="default"/>
      </w:rPr>
    </w:lvl>
    <w:lvl w:ilvl="8" w:tplc="736EADA6">
      <w:start w:val="1"/>
      <w:numFmt w:val="bullet"/>
      <w:lvlText w:val=""/>
      <w:lvlJc w:val="left"/>
      <w:pPr>
        <w:ind w:left="6480" w:hanging="360"/>
      </w:pPr>
      <w:rPr>
        <w:rFonts w:ascii="Wingdings" w:hAnsi="Wingdings" w:hint="default"/>
      </w:rPr>
    </w:lvl>
  </w:abstractNum>
  <w:abstractNum w:abstractNumId="8" w15:restartNumberingAfterBreak="0">
    <w:nsid w:val="5D984E44"/>
    <w:multiLevelType w:val="hybridMultilevel"/>
    <w:tmpl w:val="2C0E5A74"/>
    <w:lvl w:ilvl="0" w:tplc="9FFC2CF8">
      <w:start w:val="1"/>
      <w:numFmt w:val="bullet"/>
      <w:lvlText w:val=""/>
      <w:lvlJc w:val="left"/>
      <w:pPr>
        <w:ind w:left="720" w:hanging="360"/>
      </w:pPr>
      <w:rPr>
        <w:rFonts w:ascii="Symbol" w:hAnsi="Symbol" w:hint="default"/>
      </w:rPr>
    </w:lvl>
    <w:lvl w:ilvl="1" w:tplc="989C07DC">
      <w:start w:val="1"/>
      <w:numFmt w:val="bullet"/>
      <w:lvlText w:val="o"/>
      <w:lvlJc w:val="left"/>
      <w:pPr>
        <w:ind w:left="1440" w:hanging="360"/>
      </w:pPr>
      <w:rPr>
        <w:rFonts w:ascii="Courier New" w:hAnsi="Courier New" w:hint="default"/>
      </w:rPr>
    </w:lvl>
    <w:lvl w:ilvl="2" w:tplc="DC1015FA">
      <w:start w:val="1"/>
      <w:numFmt w:val="bullet"/>
      <w:lvlText w:val=""/>
      <w:lvlJc w:val="left"/>
      <w:pPr>
        <w:ind w:left="2160" w:hanging="360"/>
      </w:pPr>
      <w:rPr>
        <w:rFonts w:ascii="Wingdings" w:hAnsi="Wingdings" w:hint="default"/>
      </w:rPr>
    </w:lvl>
    <w:lvl w:ilvl="3" w:tplc="6716471E">
      <w:start w:val="1"/>
      <w:numFmt w:val="bullet"/>
      <w:lvlText w:val=""/>
      <w:lvlJc w:val="left"/>
      <w:pPr>
        <w:ind w:left="2880" w:hanging="360"/>
      </w:pPr>
      <w:rPr>
        <w:rFonts w:ascii="Symbol" w:hAnsi="Symbol" w:hint="default"/>
      </w:rPr>
    </w:lvl>
    <w:lvl w:ilvl="4" w:tplc="B262D960">
      <w:start w:val="1"/>
      <w:numFmt w:val="bullet"/>
      <w:lvlText w:val="o"/>
      <w:lvlJc w:val="left"/>
      <w:pPr>
        <w:ind w:left="3600" w:hanging="360"/>
      </w:pPr>
      <w:rPr>
        <w:rFonts w:ascii="Courier New" w:hAnsi="Courier New" w:hint="default"/>
      </w:rPr>
    </w:lvl>
    <w:lvl w:ilvl="5" w:tplc="CEC4C56A">
      <w:start w:val="1"/>
      <w:numFmt w:val="bullet"/>
      <w:lvlText w:val=""/>
      <w:lvlJc w:val="left"/>
      <w:pPr>
        <w:ind w:left="4320" w:hanging="360"/>
      </w:pPr>
      <w:rPr>
        <w:rFonts w:ascii="Wingdings" w:hAnsi="Wingdings" w:hint="default"/>
      </w:rPr>
    </w:lvl>
    <w:lvl w:ilvl="6" w:tplc="07FA538A">
      <w:start w:val="1"/>
      <w:numFmt w:val="bullet"/>
      <w:lvlText w:val=""/>
      <w:lvlJc w:val="left"/>
      <w:pPr>
        <w:ind w:left="5040" w:hanging="360"/>
      </w:pPr>
      <w:rPr>
        <w:rFonts w:ascii="Symbol" w:hAnsi="Symbol" w:hint="default"/>
      </w:rPr>
    </w:lvl>
    <w:lvl w:ilvl="7" w:tplc="4A121BA4">
      <w:start w:val="1"/>
      <w:numFmt w:val="bullet"/>
      <w:lvlText w:val="o"/>
      <w:lvlJc w:val="left"/>
      <w:pPr>
        <w:ind w:left="5760" w:hanging="360"/>
      </w:pPr>
      <w:rPr>
        <w:rFonts w:ascii="Courier New" w:hAnsi="Courier New" w:hint="default"/>
      </w:rPr>
    </w:lvl>
    <w:lvl w:ilvl="8" w:tplc="BDE8226A">
      <w:start w:val="1"/>
      <w:numFmt w:val="bullet"/>
      <w:lvlText w:val=""/>
      <w:lvlJc w:val="left"/>
      <w:pPr>
        <w:ind w:left="6480" w:hanging="360"/>
      </w:pPr>
      <w:rPr>
        <w:rFonts w:ascii="Wingdings" w:hAnsi="Wingdings" w:hint="default"/>
      </w:rPr>
    </w:lvl>
  </w:abstractNum>
  <w:abstractNum w:abstractNumId="9" w15:restartNumberingAfterBreak="0">
    <w:nsid w:val="6C246749"/>
    <w:multiLevelType w:val="hybridMultilevel"/>
    <w:tmpl w:val="37DA037E"/>
    <w:lvl w:ilvl="0" w:tplc="5824B8D8">
      <w:start w:val="1"/>
      <w:numFmt w:val="bullet"/>
      <w:lvlText w:val="•"/>
      <w:lvlJc w:val="left"/>
      <w:pPr>
        <w:tabs>
          <w:tab w:val="num" w:pos="720"/>
        </w:tabs>
        <w:ind w:left="720" w:hanging="360"/>
      </w:pPr>
      <w:rPr>
        <w:rFonts w:ascii="Arial" w:hAnsi="Arial" w:hint="default"/>
      </w:rPr>
    </w:lvl>
    <w:lvl w:ilvl="1" w:tplc="D0EED408" w:tentative="1">
      <w:start w:val="1"/>
      <w:numFmt w:val="bullet"/>
      <w:lvlText w:val="•"/>
      <w:lvlJc w:val="left"/>
      <w:pPr>
        <w:tabs>
          <w:tab w:val="num" w:pos="1440"/>
        </w:tabs>
        <w:ind w:left="1440" w:hanging="360"/>
      </w:pPr>
      <w:rPr>
        <w:rFonts w:ascii="Arial" w:hAnsi="Arial" w:hint="default"/>
      </w:rPr>
    </w:lvl>
    <w:lvl w:ilvl="2" w:tplc="AF503926" w:tentative="1">
      <w:start w:val="1"/>
      <w:numFmt w:val="bullet"/>
      <w:lvlText w:val="•"/>
      <w:lvlJc w:val="left"/>
      <w:pPr>
        <w:tabs>
          <w:tab w:val="num" w:pos="2160"/>
        </w:tabs>
        <w:ind w:left="2160" w:hanging="360"/>
      </w:pPr>
      <w:rPr>
        <w:rFonts w:ascii="Arial" w:hAnsi="Arial" w:hint="default"/>
      </w:rPr>
    </w:lvl>
    <w:lvl w:ilvl="3" w:tplc="E05497CA" w:tentative="1">
      <w:start w:val="1"/>
      <w:numFmt w:val="bullet"/>
      <w:lvlText w:val="•"/>
      <w:lvlJc w:val="left"/>
      <w:pPr>
        <w:tabs>
          <w:tab w:val="num" w:pos="2880"/>
        </w:tabs>
        <w:ind w:left="2880" w:hanging="360"/>
      </w:pPr>
      <w:rPr>
        <w:rFonts w:ascii="Arial" w:hAnsi="Arial" w:hint="default"/>
      </w:rPr>
    </w:lvl>
    <w:lvl w:ilvl="4" w:tplc="A23A0A7A" w:tentative="1">
      <w:start w:val="1"/>
      <w:numFmt w:val="bullet"/>
      <w:lvlText w:val="•"/>
      <w:lvlJc w:val="left"/>
      <w:pPr>
        <w:tabs>
          <w:tab w:val="num" w:pos="3600"/>
        </w:tabs>
        <w:ind w:left="3600" w:hanging="360"/>
      </w:pPr>
      <w:rPr>
        <w:rFonts w:ascii="Arial" w:hAnsi="Arial" w:hint="default"/>
      </w:rPr>
    </w:lvl>
    <w:lvl w:ilvl="5" w:tplc="2EF014F2" w:tentative="1">
      <w:start w:val="1"/>
      <w:numFmt w:val="bullet"/>
      <w:lvlText w:val="•"/>
      <w:lvlJc w:val="left"/>
      <w:pPr>
        <w:tabs>
          <w:tab w:val="num" w:pos="4320"/>
        </w:tabs>
        <w:ind w:left="4320" w:hanging="360"/>
      </w:pPr>
      <w:rPr>
        <w:rFonts w:ascii="Arial" w:hAnsi="Arial" w:hint="default"/>
      </w:rPr>
    </w:lvl>
    <w:lvl w:ilvl="6" w:tplc="C56A0176" w:tentative="1">
      <w:start w:val="1"/>
      <w:numFmt w:val="bullet"/>
      <w:lvlText w:val="•"/>
      <w:lvlJc w:val="left"/>
      <w:pPr>
        <w:tabs>
          <w:tab w:val="num" w:pos="5040"/>
        </w:tabs>
        <w:ind w:left="5040" w:hanging="360"/>
      </w:pPr>
      <w:rPr>
        <w:rFonts w:ascii="Arial" w:hAnsi="Arial" w:hint="default"/>
      </w:rPr>
    </w:lvl>
    <w:lvl w:ilvl="7" w:tplc="5E4628D6" w:tentative="1">
      <w:start w:val="1"/>
      <w:numFmt w:val="bullet"/>
      <w:lvlText w:val="•"/>
      <w:lvlJc w:val="left"/>
      <w:pPr>
        <w:tabs>
          <w:tab w:val="num" w:pos="5760"/>
        </w:tabs>
        <w:ind w:left="5760" w:hanging="360"/>
      </w:pPr>
      <w:rPr>
        <w:rFonts w:ascii="Arial" w:hAnsi="Arial" w:hint="default"/>
      </w:rPr>
    </w:lvl>
    <w:lvl w:ilvl="8" w:tplc="F9DC29FA" w:tentative="1">
      <w:start w:val="1"/>
      <w:numFmt w:val="bullet"/>
      <w:lvlText w:val="•"/>
      <w:lvlJc w:val="left"/>
      <w:pPr>
        <w:tabs>
          <w:tab w:val="num" w:pos="6480"/>
        </w:tabs>
        <w:ind w:left="6480" w:hanging="360"/>
      </w:pPr>
      <w:rPr>
        <w:rFonts w:ascii="Arial" w:hAnsi="Arial" w:hint="default"/>
      </w:rPr>
    </w:lvl>
  </w:abstractNum>
  <w:num w:numId="1" w16cid:durableId="198130884">
    <w:abstractNumId w:val="8"/>
  </w:num>
  <w:num w:numId="2" w16cid:durableId="1140727189">
    <w:abstractNumId w:val="6"/>
  </w:num>
  <w:num w:numId="3" w16cid:durableId="1582062736">
    <w:abstractNumId w:val="7"/>
  </w:num>
  <w:num w:numId="4" w16cid:durableId="1080980176">
    <w:abstractNumId w:val="2"/>
  </w:num>
  <w:num w:numId="5" w16cid:durableId="81218097">
    <w:abstractNumId w:val="9"/>
  </w:num>
  <w:num w:numId="6" w16cid:durableId="1196579618">
    <w:abstractNumId w:val="3"/>
  </w:num>
  <w:num w:numId="7" w16cid:durableId="1398242728">
    <w:abstractNumId w:val="5"/>
  </w:num>
  <w:num w:numId="8" w16cid:durableId="1050108797">
    <w:abstractNumId w:val="4"/>
  </w:num>
  <w:num w:numId="9" w16cid:durableId="2136176564">
    <w:abstractNumId w:val="0"/>
  </w:num>
  <w:num w:numId="10" w16cid:durableId="189708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52"/>
    <w:rsid w:val="0002349D"/>
    <w:rsid w:val="00090D00"/>
    <w:rsid w:val="000D4BA0"/>
    <w:rsid w:val="000F3707"/>
    <w:rsid w:val="001011CB"/>
    <w:rsid w:val="00113B24"/>
    <w:rsid w:val="001150D4"/>
    <w:rsid w:val="00147FA0"/>
    <w:rsid w:val="001579EF"/>
    <w:rsid w:val="001A57E9"/>
    <w:rsid w:val="001F6958"/>
    <w:rsid w:val="002045DE"/>
    <w:rsid w:val="0024297B"/>
    <w:rsid w:val="002521D9"/>
    <w:rsid w:val="0028121D"/>
    <w:rsid w:val="002A45E9"/>
    <w:rsid w:val="002C5128"/>
    <w:rsid w:val="002D7717"/>
    <w:rsid w:val="00306333"/>
    <w:rsid w:val="003277A2"/>
    <w:rsid w:val="00352D93"/>
    <w:rsid w:val="003C0682"/>
    <w:rsid w:val="003D11F0"/>
    <w:rsid w:val="003F1157"/>
    <w:rsid w:val="00401250"/>
    <w:rsid w:val="00410303"/>
    <w:rsid w:val="004555CF"/>
    <w:rsid w:val="00460417"/>
    <w:rsid w:val="00490459"/>
    <w:rsid w:val="004B4E9A"/>
    <w:rsid w:val="004C68C8"/>
    <w:rsid w:val="004E3572"/>
    <w:rsid w:val="005003F5"/>
    <w:rsid w:val="00515DD4"/>
    <w:rsid w:val="00525274"/>
    <w:rsid w:val="005830F0"/>
    <w:rsid w:val="005E61F8"/>
    <w:rsid w:val="00615F93"/>
    <w:rsid w:val="006364CC"/>
    <w:rsid w:val="006468E4"/>
    <w:rsid w:val="0065120C"/>
    <w:rsid w:val="006B4452"/>
    <w:rsid w:val="006C2516"/>
    <w:rsid w:val="00711EF8"/>
    <w:rsid w:val="00745069"/>
    <w:rsid w:val="00745F38"/>
    <w:rsid w:val="00747F18"/>
    <w:rsid w:val="007C7CE8"/>
    <w:rsid w:val="007D24A6"/>
    <w:rsid w:val="008430B4"/>
    <w:rsid w:val="00863371"/>
    <w:rsid w:val="008642F5"/>
    <w:rsid w:val="008B090D"/>
    <w:rsid w:val="008C6A65"/>
    <w:rsid w:val="008C6FE3"/>
    <w:rsid w:val="008F7735"/>
    <w:rsid w:val="00936E32"/>
    <w:rsid w:val="009403C5"/>
    <w:rsid w:val="009844FE"/>
    <w:rsid w:val="009C58BF"/>
    <w:rsid w:val="009D1077"/>
    <w:rsid w:val="009D7964"/>
    <w:rsid w:val="009F5FA2"/>
    <w:rsid w:val="00A07804"/>
    <w:rsid w:val="00A20CED"/>
    <w:rsid w:val="00A22314"/>
    <w:rsid w:val="00A564AC"/>
    <w:rsid w:val="00A62D5A"/>
    <w:rsid w:val="00AC20B4"/>
    <w:rsid w:val="00AC7DCB"/>
    <w:rsid w:val="00AE4A0E"/>
    <w:rsid w:val="00B5174A"/>
    <w:rsid w:val="00B72F35"/>
    <w:rsid w:val="00B731D5"/>
    <w:rsid w:val="00B95ACC"/>
    <w:rsid w:val="00BB4D63"/>
    <w:rsid w:val="00C04614"/>
    <w:rsid w:val="00C272FF"/>
    <w:rsid w:val="00C61995"/>
    <w:rsid w:val="00C76145"/>
    <w:rsid w:val="00CB39B4"/>
    <w:rsid w:val="00D15D45"/>
    <w:rsid w:val="00D34191"/>
    <w:rsid w:val="00D63798"/>
    <w:rsid w:val="00D96DC3"/>
    <w:rsid w:val="00DA40C0"/>
    <w:rsid w:val="00DF606F"/>
    <w:rsid w:val="00E0140D"/>
    <w:rsid w:val="00E165BB"/>
    <w:rsid w:val="00E51B52"/>
    <w:rsid w:val="00E72396"/>
    <w:rsid w:val="00EC06A3"/>
    <w:rsid w:val="00F15E98"/>
    <w:rsid w:val="00F77AF0"/>
    <w:rsid w:val="00FD5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7E0"/>
  <w15:chartTrackingRefBased/>
  <w15:docId w15:val="{BEBC4ACF-6A1E-4B1A-94D9-10F39C1C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B4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44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45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B445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B445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D15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45"/>
    <w:rPr>
      <w:rFonts w:ascii="Segoe UI" w:hAnsi="Segoe UI" w:cs="Segoe UI"/>
      <w:sz w:val="18"/>
      <w:szCs w:val="18"/>
    </w:rPr>
  </w:style>
  <w:style w:type="character" w:styleId="CommentReference">
    <w:name w:val="annotation reference"/>
    <w:basedOn w:val="DefaultParagraphFont"/>
    <w:uiPriority w:val="99"/>
    <w:semiHidden/>
    <w:unhideWhenUsed/>
    <w:rsid w:val="00D15D45"/>
    <w:rPr>
      <w:sz w:val="16"/>
      <w:szCs w:val="16"/>
    </w:rPr>
  </w:style>
  <w:style w:type="paragraph" w:styleId="CommentText">
    <w:name w:val="annotation text"/>
    <w:basedOn w:val="Normal"/>
    <w:link w:val="CommentTextChar"/>
    <w:uiPriority w:val="99"/>
    <w:semiHidden/>
    <w:unhideWhenUsed/>
    <w:rsid w:val="00D15D45"/>
    <w:pPr>
      <w:spacing w:line="240" w:lineRule="auto"/>
    </w:pPr>
    <w:rPr>
      <w:sz w:val="20"/>
      <w:szCs w:val="20"/>
    </w:rPr>
  </w:style>
  <w:style w:type="character" w:customStyle="1" w:styleId="CommentTextChar">
    <w:name w:val="Comment Text Char"/>
    <w:basedOn w:val="DefaultParagraphFont"/>
    <w:link w:val="CommentText"/>
    <w:uiPriority w:val="99"/>
    <w:semiHidden/>
    <w:rsid w:val="00D15D45"/>
    <w:rPr>
      <w:sz w:val="20"/>
      <w:szCs w:val="20"/>
    </w:rPr>
  </w:style>
  <w:style w:type="paragraph" w:styleId="CommentSubject">
    <w:name w:val="annotation subject"/>
    <w:basedOn w:val="CommentText"/>
    <w:next w:val="CommentText"/>
    <w:link w:val="CommentSubjectChar"/>
    <w:uiPriority w:val="99"/>
    <w:semiHidden/>
    <w:unhideWhenUsed/>
    <w:rsid w:val="00D15D45"/>
    <w:rPr>
      <w:b/>
      <w:bCs/>
    </w:rPr>
  </w:style>
  <w:style w:type="character" w:customStyle="1" w:styleId="CommentSubjectChar">
    <w:name w:val="Comment Subject Char"/>
    <w:basedOn w:val="CommentTextChar"/>
    <w:link w:val="CommentSubject"/>
    <w:uiPriority w:val="99"/>
    <w:semiHidden/>
    <w:rsid w:val="00D15D45"/>
    <w:rPr>
      <w:b/>
      <w:bCs/>
      <w:sz w:val="20"/>
      <w:szCs w:val="20"/>
    </w:rPr>
  </w:style>
  <w:style w:type="table" w:styleId="TableGrid">
    <w:name w:val="Table Grid"/>
    <w:basedOn w:val="TableNormal"/>
    <w:uiPriority w:val="39"/>
    <w:rsid w:val="00D1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A45E9"/>
    <w:rPr>
      <w:color w:val="0000FF"/>
      <w:u w:val="single"/>
    </w:rPr>
  </w:style>
  <w:style w:type="character" w:styleId="FollowedHyperlink">
    <w:name w:val="FollowedHyperlink"/>
    <w:basedOn w:val="DefaultParagraphFont"/>
    <w:uiPriority w:val="99"/>
    <w:semiHidden/>
    <w:unhideWhenUsed/>
    <w:rsid w:val="007C7CE8"/>
    <w:rPr>
      <w:color w:val="954F72" w:themeColor="followedHyperlink"/>
      <w:u w:val="single"/>
    </w:rPr>
  </w:style>
  <w:style w:type="paragraph" w:styleId="Revision">
    <w:name w:val="Revision"/>
    <w:hidden/>
    <w:uiPriority w:val="99"/>
    <w:semiHidden/>
    <w:rsid w:val="00AE4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05109">
      <w:bodyDiv w:val="1"/>
      <w:marLeft w:val="0"/>
      <w:marRight w:val="0"/>
      <w:marTop w:val="0"/>
      <w:marBottom w:val="0"/>
      <w:divBdr>
        <w:top w:val="none" w:sz="0" w:space="0" w:color="auto"/>
        <w:left w:val="none" w:sz="0" w:space="0" w:color="auto"/>
        <w:bottom w:val="none" w:sz="0" w:space="0" w:color="auto"/>
        <w:right w:val="none" w:sz="0" w:space="0" w:color="auto"/>
      </w:divBdr>
      <w:divsChild>
        <w:div w:id="381246088">
          <w:marLeft w:val="446"/>
          <w:marRight w:val="0"/>
          <w:marTop w:val="120"/>
          <w:marBottom w:val="0"/>
          <w:divBdr>
            <w:top w:val="none" w:sz="0" w:space="0" w:color="auto"/>
            <w:left w:val="none" w:sz="0" w:space="0" w:color="auto"/>
            <w:bottom w:val="none" w:sz="0" w:space="0" w:color="auto"/>
            <w:right w:val="none" w:sz="0" w:space="0" w:color="auto"/>
          </w:divBdr>
        </w:div>
      </w:divsChild>
    </w:div>
    <w:div w:id="1783912325">
      <w:bodyDiv w:val="1"/>
      <w:marLeft w:val="0"/>
      <w:marRight w:val="0"/>
      <w:marTop w:val="0"/>
      <w:marBottom w:val="0"/>
      <w:divBdr>
        <w:top w:val="none" w:sz="0" w:space="0" w:color="auto"/>
        <w:left w:val="none" w:sz="0" w:space="0" w:color="auto"/>
        <w:bottom w:val="none" w:sz="0" w:space="0" w:color="auto"/>
        <w:right w:val="none" w:sz="0" w:space="0" w:color="auto"/>
      </w:divBdr>
      <w:divsChild>
        <w:div w:id="1874225983">
          <w:marLeft w:val="446"/>
          <w:marRight w:val="0"/>
          <w:marTop w:val="120"/>
          <w:marBottom w:val="0"/>
          <w:divBdr>
            <w:top w:val="none" w:sz="0" w:space="0" w:color="auto"/>
            <w:left w:val="none" w:sz="0" w:space="0" w:color="auto"/>
            <w:bottom w:val="none" w:sz="0" w:space="0" w:color="auto"/>
            <w:right w:val="none" w:sz="0" w:space="0" w:color="auto"/>
          </w:divBdr>
        </w:div>
        <w:div w:id="241333863">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ealth.gov.au/resources/publications/schedule-of-fees-and-charges-for-residential-and-home-care?language=en" TargetMode="External"/><Relationship Id="rId4" Type="http://schemas.openxmlformats.org/officeDocument/2006/relationships/customXml" Target="../customXml/item4.xml"/><Relationship Id="rId9" Type="http://schemas.openxmlformats.org/officeDocument/2006/relationships/hyperlink" Target="https://www.myagedcare.gov.au/understanding-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52BC0B18699EA4789C083E3F8240ADF" ma:contentTypeVersion="4" ma:contentTypeDescription="ShareHub Document" ma:contentTypeScope="" ma:versionID="fdb91d8cb7c0499de2e5dbf2b236499c">
  <xsd:schema xmlns:xsd="http://www.w3.org/2001/XMLSchema" xmlns:xs="http://www.w3.org/2001/XMLSchema" xmlns:p="http://schemas.microsoft.com/office/2006/metadata/properties" xmlns:ns1="f90e543f-b8b8-475a-9011-67f62d68231d" xmlns:ns3="685f9fda-bd71-4433-b331-92feb9553089" targetNamespace="http://schemas.microsoft.com/office/2006/metadata/properties" ma:root="true" ma:fieldsID="822f7d9a0e4c8daf899a9201935d1113" ns1:_="" ns3:_="">
    <xsd:import namespace="f90e543f-b8b8-475a-9011-67f62d68231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543f-b8b8-475a-9011-67f62d68231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3ee8ed-2190-47e1-8abb-1a2582ad315e}" ma:internalName="TaxCatchAll" ma:showField="CatchAllData" ma:web="f90e543f-b8b8-475a-9011-67f62d6823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3ee8ed-2190-47e1-8abb-1a2582ad315e}" ma:internalName="TaxCatchAllLabel" ma:readOnly="true" ma:showField="CatchAllDataLabel" ma:web="f90e543f-b8b8-475a-9011-67f62d68231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f90e543f-b8b8-475a-9011-67f62d68231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f90e543f-b8b8-475a-9011-67f62d68231d">
      <Value>1</Value>
    </TaxCatchAll>
    <jd1c641577414dfdab1686c9d5d0dbd0 xmlns="f90e543f-b8b8-475a-9011-67f62d68231d">
      <Terms xmlns="http://schemas.microsoft.com/office/infopath/2007/PartnerControls"/>
    </jd1c641577414dfdab1686c9d5d0dbd0>
    <ShareHubID xmlns="f90e543f-b8b8-475a-9011-67f62d68231d">DOC23-225755</ShareHubID>
    <NonRecordJustification xmlns="685f9fda-bd71-4433-b331-92feb9553089">None</NonRecordJustification>
    <PMCNotes xmlns="f90e543f-b8b8-475a-9011-67f62d6823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C0DE-2DA3-408F-96B6-09DF0C02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543f-b8b8-475a-9011-67f62d68231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4A7BE-1C6F-4279-AAA9-D1042CD77AEF}">
  <ds:schemaRefs>
    <ds:schemaRef ds:uri="http://schemas.microsoft.com/sharepoint/v3/contenttype/forms"/>
  </ds:schemaRefs>
</ds:datastoreItem>
</file>

<file path=customXml/itemProps3.xml><?xml version="1.0" encoding="utf-8"?>
<ds:datastoreItem xmlns:ds="http://schemas.openxmlformats.org/officeDocument/2006/customXml" ds:itemID="{79A1D518-2A11-43E4-8FBB-FD7B49EEAE55}">
  <ds:schemaRefs>
    <ds:schemaRef ds:uri="http://purl.org/dc/terms/"/>
    <ds:schemaRef ds:uri="http://purl.org/dc/dcmitype/"/>
    <ds:schemaRef ds:uri="http://schemas.microsoft.com/office/2006/documentManagement/types"/>
    <ds:schemaRef ds:uri="http://purl.org/dc/elements/1.1/"/>
    <ds:schemaRef ds:uri="f90e543f-b8b8-475a-9011-67f62d68231d"/>
    <ds:schemaRef ds:uri="http://schemas.openxmlformats.org/package/2006/metadata/core-properties"/>
    <ds:schemaRef ds:uri="http://www.w3.org/XML/1998/namespace"/>
    <ds:schemaRef ds:uri="http://schemas.microsoft.com/office/infopath/2007/PartnerControls"/>
    <ds:schemaRef ds:uri="685f9fda-bd71-4433-b331-92feb9553089"/>
    <ds:schemaRef ds:uri="http://schemas.microsoft.com/office/2006/metadata/properties"/>
  </ds:schemaRefs>
</ds:datastoreItem>
</file>

<file path=customXml/itemProps4.xml><?xml version="1.0" encoding="utf-8"?>
<ds:datastoreItem xmlns:ds="http://schemas.openxmlformats.org/officeDocument/2006/customXml" ds:itemID="{788EFBB9-A7DB-40B9-B857-CA155774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 Jodette</dc:creator>
  <cp:keywords/>
  <dc:description/>
  <cp:lastModifiedBy>POOLE, Gemma</cp:lastModifiedBy>
  <cp:revision>2</cp:revision>
  <dcterms:created xsi:type="dcterms:W3CDTF">2023-08-03T00:43:00Z</dcterms:created>
  <dcterms:modified xsi:type="dcterms:W3CDTF">2023-08-03T00:43:00Z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0x0101002825A64A6E1845A99A9D8EE8A5686ECB00952BC0B18699EA4789C083E3F8240ADF</vt:lpwstr>
  </property>
  <property fmtid="{D5CDD505-2E9C-101B-9397-08002B2CF9AE}" pid="3" name="HPRMSecurityLevel">
    <vt:lpwstr>1;#OFFICIAL|11463c70-78df-4e3b-b0ff-f66cd3cb26ec</vt:lpwstr>
  </property>
  <property fmtid="{D5CDD505-2E9C-101B-9397-08002B2CF9AE}" pid="4" name="HPRMSecurityCaveat">
    <vt:lpwstr/>
  </property>
</Properties>
</file>